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9E6A9B" w:rsidP="00275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9E6A9B" w:rsidP="00827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Technická data a nastavení PBÚ, návrh telefonní sítě v objektu, připojení účastníka k telefonní síti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035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9E6A9B" w:rsidP="009E6A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Technická data a nastavení PBÚ, diagnostika závad, jejich odstranění. Umístění PBÚ a návrh telefonní sítě v objektu. Připojení účastníka k tel. síti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9E6A9B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D74CB4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D74CB4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D74CB4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D47FD4" w:rsidRDefault="00D47FD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E6A9B" w:rsidRDefault="009E6A9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hyperlink r:id="rId7" w:history="1">
        <w:r w:rsidRPr="00B85230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https://www.souepl.cz/wp-content/ucitele/hladik/opvk2009/telefon/telefon.html</w:t>
        </w:r>
      </w:hyperlink>
    </w:p>
    <w:p w:rsidR="009E6A9B" w:rsidRDefault="009E6A9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- prostudovat část „Telefon 1 až 5)</w:t>
      </w:r>
    </w:p>
    <w:p w:rsidR="00AB7EEC" w:rsidRDefault="00AB7EEC" w:rsidP="00AB7EEC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 seznámit se </w:t>
      </w:r>
      <w:r w:rsidRPr="00AB7EEC">
        <w:rPr>
          <w:rFonts w:asciiTheme="minorHAnsi" w:hAnsiTheme="minorHAnsi"/>
          <w:sz w:val="24"/>
          <w:szCs w:val="24"/>
        </w:rPr>
        <w:t>Elektronika III – Miloslav Bezděk</w:t>
      </w:r>
      <w:r>
        <w:rPr>
          <w:rFonts w:asciiTheme="minorHAnsi" w:hAnsiTheme="minorHAnsi"/>
          <w:sz w:val="24"/>
          <w:szCs w:val="24"/>
        </w:rPr>
        <w:t xml:space="preserve"> str. 185 – 190</w:t>
      </w:r>
    </w:p>
    <w:p w:rsidR="00AB7EEC" w:rsidRPr="00AB7EEC" w:rsidRDefault="00AB7EEC" w:rsidP="00AB7EEC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</w:rPr>
        <w:t xml:space="preserve">- Informační a Telekomunikační </w:t>
      </w:r>
      <w:proofErr w:type="gramStart"/>
      <w:r>
        <w:rPr>
          <w:rFonts w:asciiTheme="minorHAnsi" w:hAnsiTheme="minorHAnsi"/>
          <w:sz w:val="24"/>
          <w:szCs w:val="24"/>
        </w:rPr>
        <w:t>technika –</w:t>
      </w:r>
      <w:proofErr w:type="spellStart"/>
      <w:r>
        <w:rPr>
          <w:rFonts w:asciiTheme="minorHAnsi" w:hAnsiTheme="minorHAnsi"/>
          <w:sz w:val="24"/>
          <w:szCs w:val="24"/>
        </w:rPr>
        <w:t>Horst</w:t>
      </w:r>
      <w:proofErr w:type="spellEnd"/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Jansen</w:t>
      </w:r>
      <w:proofErr w:type="spellEnd"/>
      <w:r>
        <w:rPr>
          <w:rFonts w:asciiTheme="minorHAnsi" w:hAnsiTheme="minorHAnsi"/>
          <w:sz w:val="24"/>
          <w:szCs w:val="24"/>
        </w:rPr>
        <w:t xml:space="preserve">-Heinrich </w:t>
      </w:r>
      <w:proofErr w:type="spellStart"/>
      <w:r>
        <w:rPr>
          <w:rFonts w:asciiTheme="minorHAnsi" w:hAnsiTheme="minorHAnsi"/>
          <w:sz w:val="24"/>
          <w:szCs w:val="24"/>
        </w:rPr>
        <w:t>Rotter</w:t>
      </w:r>
      <w:proofErr w:type="spellEnd"/>
      <w:r>
        <w:rPr>
          <w:rFonts w:asciiTheme="minorHAnsi" w:hAnsiTheme="minorHAnsi"/>
          <w:sz w:val="24"/>
          <w:szCs w:val="24"/>
        </w:rPr>
        <w:t xml:space="preserve"> a kolektiv  str. 253 - 260</w:t>
      </w:r>
    </w:p>
    <w:p w:rsidR="00AB7EEC" w:rsidRDefault="00AB7EEC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E6A9B" w:rsidRDefault="009E6A9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</w:p>
    <w:p w:rsidR="009E6A9B" w:rsidRDefault="009E6A9B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</w:t>
      </w:r>
      <w:r w:rsidRPr="009E6A9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Připojení účastníka k tel. síti</w:t>
      </w:r>
    </w:p>
    <w:p w:rsidR="009E6A9B" w:rsidRDefault="009E6A9B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forma samostudia (napsat)</w:t>
      </w:r>
    </w:p>
    <w:p w:rsidR="009E6A9B" w:rsidRPr="009E6A9B" w:rsidRDefault="009E6A9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E6A9B" w:rsidRPr="009E6A9B" w:rsidRDefault="009E6A9B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E6A9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Namalujte objekt kanceláří:</w:t>
      </w: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deset kanceláří (v každá kanceláři okno a vstupní dveře)</w:t>
      </w: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na každé straně pět kanceláří, uprostřed chodba, na konci chodby zasedací místnost</w:t>
      </w: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jedny vstupní dveře s recepcí</w:t>
      </w: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dvě sociální zařízení</w:t>
      </w: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b) Návrh telefonní sítě:</w:t>
      </w: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 každé kanceláře:</w:t>
      </w: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 xml:space="preserve">- jedna telefonní zásuvka k oknu </w:t>
      </w: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Recepce:</w:t>
      </w: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Dvě telefonní zásuvky – libovolně</w:t>
      </w: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Telefonní ústředna</w:t>
      </w: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Zasedací místnost:</w:t>
      </w: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- jedna telefonní zásuvka  </w:t>
      </w: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Dle potřeby použijte propojovací krabice (Merk)</w:t>
      </w: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c) Zpracujte dokumentaci ke zřízení telefonní sítě (náčrtek, blokové schéma, zakreslení prvků, normy atd.)</w:t>
      </w: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E6A9B" w:rsidRPr="002A086F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d)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Namalujte</w:t>
      </w:r>
      <w:r w:rsidRPr="002A08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tabulku:</w:t>
      </w:r>
    </w:p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Dle vzoru vyhotovte tabulku a vyplňte. </w:t>
      </w:r>
      <w:r w:rsidRPr="00AC585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 části „</w:t>
      </w:r>
      <w:r w:rsidRPr="00AC5854">
        <w:rPr>
          <w:rFonts w:ascii="Calibri" w:hAnsi="Calibri" w:cs="Calibri"/>
          <w:color w:val="000000"/>
          <w:sz w:val="24"/>
          <w:szCs w:val="24"/>
        </w:rPr>
        <w:t>Odkaz na webové stránky“ vyplňte přesný odkaz.</w:t>
      </w:r>
    </w:p>
    <w:tbl>
      <w:tblPr>
        <w:tblStyle w:val="Mkatabulky"/>
        <w:tblW w:w="0" w:type="auto"/>
        <w:tblLook w:val="04A0"/>
      </w:tblPr>
      <w:tblGrid>
        <w:gridCol w:w="555"/>
        <w:gridCol w:w="2069"/>
        <w:gridCol w:w="1092"/>
        <w:gridCol w:w="1279"/>
        <w:gridCol w:w="1467"/>
        <w:gridCol w:w="1101"/>
        <w:gridCol w:w="1101"/>
        <w:gridCol w:w="1048"/>
      </w:tblGrid>
      <w:tr w:rsidR="009E6A9B" w:rsidTr="00442E2E">
        <w:tc>
          <w:tcPr>
            <w:tcW w:w="555" w:type="dxa"/>
          </w:tcPr>
          <w:p w:rsidR="009E6A9B" w:rsidRPr="00AC5854" w:rsidRDefault="009E6A9B" w:rsidP="00442E2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P.č</w:t>
            </w:r>
            <w:proofErr w:type="spellEnd"/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069" w:type="dxa"/>
          </w:tcPr>
          <w:p w:rsidR="009E6A9B" w:rsidRPr="00AC5854" w:rsidRDefault="009E6A9B" w:rsidP="00442E2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Název materiálu</w:t>
            </w:r>
          </w:p>
        </w:tc>
        <w:tc>
          <w:tcPr>
            <w:tcW w:w="1092" w:type="dxa"/>
          </w:tcPr>
          <w:p w:rsidR="009E6A9B" w:rsidRPr="00AC5854" w:rsidRDefault="009E6A9B" w:rsidP="00442E2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Počet ks/metrů</w:t>
            </w:r>
          </w:p>
        </w:tc>
        <w:tc>
          <w:tcPr>
            <w:tcW w:w="1279" w:type="dxa"/>
          </w:tcPr>
          <w:p w:rsidR="009E6A9B" w:rsidRPr="00AC5854" w:rsidRDefault="009E6A9B" w:rsidP="00442E2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Cena s DPH</w:t>
            </w:r>
          </w:p>
          <w:p w:rsidR="009E6A9B" w:rsidRPr="00AC5854" w:rsidRDefault="009E6A9B" w:rsidP="00442E2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1467" w:type="dxa"/>
          </w:tcPr>
          <w:p w:rsidR="009E6A9B" w:rsidRPr="00AC5854" w:rsidRDefault="009E6A9B" w:rsidP="00442E2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Cena bez DPH 1 ks</w:t>
            </w:r>
          </w:p>
        </w:tc>
        <w:tc>
          <w:tcPr>
            <w:tcW w:w="1101" w:type="dxa"/>
          </w:tcPr>
          <w:p w:rsidR="009E6A9B" w:rsidRDefault="009E6A9B" w:rsidP="00442E2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Celková cena </w:t>
            </w:r>
          </w:p>
          <w:p w:rsidR="009E6A9B" w:rsidRPr="00AC5854" w:rsidRDefault="009E6A9B" w:rsidP="00442E2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s DPH</w:t>
            </w:r>
          </w:p>
        </w:tc>
        <w:tc>
          <w:tcPr>
            <w:tcW w:w="1101" w:type="dxa"/>
          </w:tcPr>
          <w:p w:rsidR="009E6A9B" w:rsidRDefault="009E6A9B" w:rsidP="00442E2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Celková cena </w:t>
            </w:r>
          </w:p>
          <w:p w:rsidR="009E6A9B" w:rsidRPr="00AC5854" w:rsidRDefault="009E6A9B" w:rsidP="00442E2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bez</w:t>
            </w: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DPH</w:t>
            </w:r>
          </w:p>
        </w:tc>
        <w:tc>
          <w:tcPr>
            <w:tcW w:w="1048" w:type="dxa"/>
          </w:tcPr>
          <w:p w:rsidR="009E6A9B" w:rsidRPr="00AC5854" w:rsidRDefault="009E6A9B" w:rsidP="00442E2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Odkaz na webové stránky</w:t>
            </w:r>
          </w:p>
        </w:tc>
      </w:tr>
      <w:tr w:rsidR="009E6A9B" w:rsidTr="00442E2E">
        <w:tc>
          <w:tcPr>
            <w:tcW w:w="555" w:type="dxa"/>
          </w:tcPr>
          <w:p w:rsidR="009E6A9B" w:rsidRDefault="009E6A9B" w:rsidP="00442E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</w:tcPr>
          <w:p w:rsidR="009E6A9B" w:rsidRDefault="009E6A9B" w:rsidP="00442E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:rsidR="009E6A9B" w:rsidRDefault="009E6A9B" w:rsidP="00442E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</w:tcPr>
          <w:p w:rsidR="009E6A9B" w:rsidRDefault="009E6A9B" w:rsidP="00442E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9E6A9B" w:rsidRDefault="009E6A9B" w:rsidP="00442E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9E6A9B" w:rsidRDefault="009E6A9B" w:rsidP="00442E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9E6A9B" w:rsidRDefault="009E6A9B" w:rsidP="00442E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:rsidR="009E6A9B" w:rsidRDefault="009E6A9B" w:rsidP="00442E2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9E6A9B" w:rsidRDefault="009E6A9B" w:rsidP="009E6A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648AB" w:rsidRDefault="003648A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F5C10" w:rsidRPr="009B74FB" w:rsidRDefault="00BF5C10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3648AB" w:rsidRPr="00AB7EEC" w:rsidRDefault="00D91086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8" w:history="1">
        <w:r w:rsidR="009E6A9B" w:rsidRPr="00AB7EEC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https://www.souepl.cz/wp-content/ucitele/hladik/opvk2009/telefon/telefon.html</w:t>
        </w:r>
      </w:hyperlink>
    </w:p>
    <w:p w:rsidR="00AB7EEC" w:rsidRPr="00AB7EEC" w:rsidRDefault="00AB7EE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AB7EEC">
        <w:rPr>
          <w:rFonts w:asciiTheme="minorHAnsi" w:hAnsiTheme="minorHAnsi"/>
          <w:sz w:val="24"/>
          <w:szCs w:val="24"/>
        </w:rPr>
        <w:t>Elektronika III – Miloslav Bezděk</w:t>
      </w:r>
    </w:p>
    <w:p w:rsidR="001853C8" w:rsidRPr="00AB7EEC" w:rsidRDefault="001853C8" w:rsidP="001853C8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1853C8" w:rsidRPr="009B74FB" w:rsidRDefault="001853C8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sectPr w:rsidR="001853C8" w:rsidRPr="009B74FB" w:rsidSect="007B6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161" w:rsidRDefault="00172161" w:rsidP="004258E9">
      <w:pPr>
        <w:spacing w:after="0" w:line="240" w:lineRule="auto"/>
      </w:pPr>
      <w:r>
        <w:separator/>
      </w:r>
    </w:p>
  </w:endnote>
  <w:endnote w:type="continuationSeparator" w:id="0">
    <w:p w:rsidR="00172161" w:rsidRDefault="0017216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D91086">
      <w:fldChar w:fldCharType="begin"/>
    </w:r>
    <w:r>
      <w:instrText xml:space="preserve"> TIME \@ "dd.MM.yyyy" </w:instrText>
    </w:r>
    <w:r w:rsidR="00D91086">
      <w:fldChar w:fldCharType="separate"/>
    </w:r>
    <w:r w:rsidR="00AB7EEC">
      <w:rPr>
        <w:noProof/>
      </w:rPr>
      <w:t>08.09.2020</w:t>
    </w:r>
    <w:r w:rsidR="00D91086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161" w:rsidRDefault="00172161" w:rsidP="004258E9">
      <w:pPr>
        <w:spacing w:after="0" w:line="240" w:lineRule="auto"/>
      </w:pPr>
      <w:r>
        <w:separator/>
      </w:r>
    </w:p>
  </w:footnote>
  <w:footnote w:type="continuationSeparator" w:id="0">
    <w:p w:rsidR="00172161" w:rsidRDefault="0017216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9A5"/>
    <w:rsid w:val="00086C93"/>
    <w:rsid w:val="0009484E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438CC"/>
    <w:rsid w:val="00152A31"/>
    <w:rsid w:val="00154B83"/>
    <w:rsid w:val="00172161"/>
    <w:rsid w:val="001836DF"/>
    <w:rsid w:val="001840A7"/>
    <w:rsid w:val="001853C8"/>
    <w:rsid w:val="00191F9B"/>
    <w:rsid w:val="001921E4"/>
    <w:rsid w:val="001A1CF8"/>
    <w:rsid w:val="001D54AB"/>
    <w:rsid w:val="001E24A7"/>
    <w:rsid w:val="001E63A2"/>
    <w:rsid w:val="00201ED4"/>
    <w:rsid w:val="00211A19"/>
    <w:rsid w:val="0023406A"/>
    <w:rsid w:val="002625D4"/>
    <w:rsid w:val="00263F27"/>
    <w:rsid w:val="00270045"/>
    <w:rsid w:val="002709BF"/>
    <w:rsid w:val="00275DB7"/>
    <w:rsid w:val="00276441"/>
    <w:rsid w:val="0029160E"/>
    <w:rsid w:val="002952E8"/>
    <w:rsid w:val="002976D6"/>
    <w:rsid w:val="002A0B0D"/>
    <w:rsid w:val="002B05FB"/>
    <w:rsid w:val="002C0F0F"/>
    <w:rsid w:val="002D08DD"/>
    <w:rsid w:val="002E0EF6"/>
    <w:rsid w:val="002E15F3"/>
    <w:rsid w:val="002F37DD"/>
    <w:rsid w:val="00302E05"/>
    <w:rsid w:val="00310737"/>
    <w:rsid w:val="00341D63"/>
    <w:rsid w:val="003500AC"/>
    <w:rsid w:val="00354F43"/>
    <w:rsid w:val="003648AB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40351F"/>
    <w:rsid w:val="0040567E"/>
    <w:rsid w:val="00410864"/>
    <w:rsid w:val="00420BAF"/>
    <w:rsid w:val="0042532F"/>
    <w:rsid w:val="004258E9"/>
    <w:rsid w:val="004331EB"/>
    <w:rsid w:val="00436544"/>
    <w:rsid w:val="00477030"/>
    <w:rsid w:val="00483E77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9765C"/>
    <w:rsid w:val="005B7F41"/>
    <w:rsid w:val="005C116F"/>
    <w:rsid w:val="005D128B"/>
    <w:rsid w:val="005D3302"/>
    <w:rsid w:val="005D7C4E"/>
    <w:rsid w:val="005E2A1C"/>
    <w:rsid w:val="005F3E44"/>
    <w:rsid w:val="006111EC"/>
    <w:rsid w:val="006171A3"/>
    <w:rsid w:val="00624C81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52A75"/>
    <w:rsid w:val="00754CF8"/>
    <w:rsid w:val="00780C91"/>
    <w:rsid w:val="007879E0"/>
    <w:rsid w:val="007969C4"/>
    <w:rsid w:val="007A6CCD"/>
    <w:rsid w:val="007B616D"/>
    <w:rsid w:val="007C41E1"/>
    <w:rsid w:val="007D5C16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547E2"/>
    <w:rsid w:val="00955D0F"/>
    <w:rsid w:val="00960F0A"/>
    <w:rsid w:val="00984024"/>
    <w:rsid w:val="009879B4"/>
    <w:rsid w:val="00994D84"/>
    <w:rsid w:val="009A1D20"/>
    <w:rsid w:val="009A7143"/>
    <w:rsid w:val="009B74FB"/>
    <w:rsid w:val="009B7D6B"/>
    <w:rsid w:val="009D370B"/>
    <w:rsid w:val="009E6A9B"/>
    <w:rsid w:val="00A0066B"/>
    <w:rsid w:val="00A00773"/>
    <w:rsid w:val="00A03534"/>
    <w:rsid w:val="00A31AA0"/>
    <w:rsid w:val="00A660D1"/>
    <w:rsid w:val="00A92674"/>
    <w:rsid w:val="00A9365C"/>
    <w:rsid w:val="00A95B0C"/>
    <w:rsid w:val="00AA47B4"/>
    <w:rsid w:val="00AB7EEC"/>
    <w:rsid w:val="00AC4D41"/>
    <w:rsid w:val="00AC5854"/>
    <w:rsid w:val="00AC5F64"/>
    <w:rsid w:val="00AE3027"/>
    <w:rsid w:val="00AE5BEE"/>
    <w:rsid w:val="00AF190E"/>
    <w:rsid w:val="00B04DE8"/>
    <w:rsid w:val="00B336F9"/>
    <w:rsid w:val="00B36D2D"/>
    <w:rsid w:val="00B37AAA"/>
    <w:rsid w:val="00B42C5A"/>
    <w:rsid w:val="00B60B3B"/>
    <w:rsid w:val="00B62927"/>
    <w:rsid w:val="00B667EF"/>
    <w:rsid w:val="00B8728B"/>
    <w:rsid w:val="00B92D2C"/>
    <w:rsid w:val="00B92D35"/>
    <w:rsid w:val="00B93316"/>
    <w:rsid w:val="00B95D94"/>
    <w:rsid w:val="00BA00D1"/>
    <w:rsid w:val="00BB532C"/>
    <w:rsid w:val="00BB6C13"/>
    <w:rsid w:val="00BB786D"/>
    <w:rsid w:val="00BD1AF4"/>
    <w:rsid w:val="00BD6AF7"/>
    <w:rsid w:val="00BF5C10"/>
    <w:rsid w:val="00C050CD"/>
    <w:rsid w:val="00C1062E"/>
    <w:rsid w:val="00C13E98"/>
    <w:rsid w:val="00C21ACD"/>
    <w:rsid w:val="00C33EED"/>
    <w:rsid w:val="00C42E14"/>
    <w:rsid w:val="00C52899"/>
    <w:rsid w:val="00C5657A"/>
    <w:rsid w:val="00C64913"/>
    <w:rsid w:val="00C737FD"/>
    <w:rsid w:val="00C83840"/>
    <w:rsid w:val="00C921DF"/>
    <w:rsid w:val="00CB03CE"/>
    <w:rsid w:val="00CB1445"/>
    <w:rsid w:val="00CC450D"/>
    <w:rsid w:val="00CD69A8"/>
    <w:rsid w:val="00D0112C"/>
    <w:rsid w:val="00D0134E"/>
    <w:rsid w:val="00D061C5"/>
    <w:rsid w:val="00D21E2B"/>
    <w:rsid w:val="00D44BDE"/>
    <w:rsid w:val="00D47FD4"/>
    <w:rsid w:val="00D7130E"/>
    <w:rsid w:val="00D74CB4"/>
    <w:rsid w:val="00D906B4"/>
    <w:rsid w:val="00D91086"/>
    <w:rsid w:val="00D940E6"/>
    <w:rsid w:val="00D94154"/>
    <w:rsid w:val="00DA01D5"/>
    <w:rsid w:val="00DC6E8C"/>
    <w:rsid w:val="00DD232D"/>
    <w:rsid w:val="00DE4701"/>
    <w:rsid w:val="00E21739"/>
    <w:rsid w:val="00E243CF"/>
    <w:rsid w:val="00E27DC1"/>
    <w:rsid w:val="00E321CB"/>
    <w:rsid w:val="00E63013"/>
    <w:rsid w:val="00E756E5"/>
    <w:rsid w:val="00E802AA"/>
    <w:rsid w:val="00E86DC9"/>
    <w:rsid w:val="00EB5042"/>
    <w:rsid w:val="00EB74AF"/>
    <w:rsid w:val="00EC79E1"/>
    <w:rsid w:val="00ED6466"/>
    <w:rsid w:val="00EE3F51"/>
    <w:rsid w:val="00EF3CA8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citele/hladik/opvk2009/telefon/telefon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citele/hladik/opvk2009/telefon/telefon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56</cp:revision>
  <dcterms:created xsi:type="dcterms:W3CDTF">2020-08-31T11:25:00Z</dcterms:created>
  <dcterms:modified xsi:type="dcterms:W3CDTF">2020-09-08T06:31:00Z</dcterms:modified>
</cp:coreProperties>
</file>